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67FF" w14:textId="69FD34C9" w:rsidR="000579A2" w:rsidRPr="0092679F" w:rsidRDefault="00156EF3" w:rsidP="00156EF3">
      <w:pPr>
        <w:jc w:val="center"/>
        <w:rPr>
          <w:rFonts w:ascii="Times New Roman" w:hAnsi="Times New Roman" w:cs="Times New Roman"/>
          <w:b/>
          <w:bCs/>
          <w:sz w:val="24"/>
          <w:szCs w:val="24"/>
        </w:rPr>
      </w:pPr>
      <w:r w:rsidRPr="0092679F">
        <w:rPr>
          <w:rFonts w:ascii="Times New Roman" w:hAnsi="Times New Roman" w:cs="Times New Roman"/>
          <w:b/>
          <w:bCs/>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tbl>
      <w:tblPr>
        <w:tblStyle w:val="ac"/>
        <w:tblW w:w="0" w:type="auto"/>
        <w:tblLook w:val="04A0" w:firstRow="1" w:lastRow="0" w:firstColumn="1" w:lastColumn="0" w:noHBand="0" w:noVBand="1"/>
      </w:tblPr>
      <w:tblGrid>
        <w:gridCol w:w="562"/>
        <w:gridCol w:w="2268"/>
        <w:gridCol w:w="6799"/>
      </w:tblGrid>
      <w:tr w:rsidR="00156EF3" w14:paraId="26E3AB26" w14:textId="77777777" w:rsidTr="00156EF3">
        <w:tc>
          <w:tcPr>
            <w:tcW w:w="562" w:type="dxa"/>
          </w:tcPr>
          <w:p w14:paraId="030CD2A9" w14:textId="7546195E" w:rsidR="00156EF3" w:rsidRPr="0049661B" w:rsidRDefault="00156EF3" w:rsidP="00156EF3">
            <w:pPr>
              <w:jc w:val="center"/>
              <w:rPr>
                <w:rFonts w:ascii="Times New Roman" w:hAnsi="Times New Roman" w:cs="Times New Roman"/>
                <w:b/>
                <w:bCs/>
                <w:sz w:val="24"/>
                <w:szCs w:val="24"/>
              </w:rPr>
            </w:pPr>
            <w:r w:rsidRPr="0049661B">
              <w:rPr>
                <w:rFonts w:ascii="Times New Roman" w:hAnsi="Times New Roman" w:cs="Times New Roman"/>
                <w:b/>
                <w:bCs/>
                <w:sz w:val="24"/>
                <w:szCs w:val="24"/>
              </w:rPr>
              <w:t>1.</w:t>
            </w:r>
          </w:p>
        </w:tc>
        <w:tc>
          <w:tcPr>
            <w:tcW w:w="2268" w:type="dxa"/>
          </w:tcPr>
          <w:p w14:paraId="3705D22B" w14:textId="77777777" w:rsidR="00156EF3" w:rsidRPr="0049661B" w:rsidRDefault="00156EF3" w:rsidP="00156EF3">
            <w:pPr>
              <w:rPr>
                <w:rFonts w:ascii="Times New Roman" w:hAnsi="Times New Roman" w:cs="Times New Roman"/>
                <w:b/>
                <w:bCs/>
                <w:sz w:val="24"/>
                <w:szCs w:val="24"/>
              </w:rPr>
            </w:pPr>
            <w:r w:rsidRPr="0049661B">
              <w:rPr>
                <w:rFonts w:ascii="Times New Roman" w:hAnsi="Times New Roman" w:cs="Times New Roman"/>
                <w:b/>
                <w:bCs/>
                <w:sz w:val="24"/>
                <w:szCs w:val="24"/>
              </w:rPr>
              <w:t>Назва предмета</w:t>
            </w:r>
          </w:p>
          <w:p w14:paraId="1DFA61E2" w14:textId="54756739" w:rsidR="00156EF3" w:rsidRPr="0049661B" w:rsidRDefault="00156EF3" w:rsidP="00156EF3">
            <w:pPr>
              <w:rPr>
                <w:rFonts w:ascii="Times New Roman" w:hAnsi="Times New Roman" w:cs="Times New Roman"/>
                <w:b/>
                <w:bCs/>
                <w:sz w:val="24"/>
                <w:szCs w:val="24"/>
              </w:rPr>
            </w:pPr>
            <w:r w:rsidRPr="0049661B">
              <w:rPr>
                <w:rFonts w:ascii="Times New Roman" w:hAnsi="Times New Roman" w:cs="Times New Roman"/>
                <w:b/>
                <w:bCs/>
                <w:sz w:val="24"/>
                <w:szCs w:val="24"/>
              </w:rPr>
              <w:t xml:space="preserve"> закупівлі</w:t>
            </w:r>
          </w:p>
        </w:tc>
        <w:tc>
          <w:tcPr>
            <w:tcW w:w="6799" w:type="dxa"/>
          </w:tcPr>
          <w:p w14:paraId="2989CF55" w14:textId="50283E6A" w:rsidR="00156EF3" w:rsidRPr="0049661B" w:rsidRDefault="00156EF3" w:rsidP="00156EF3">
            <w:pPr>
              <w:jc w:val="both"/>
              <w:rPr>
                <w:rFonts w:ascii="Times New Roman" w:hAnsi="Times New Roman" w:cs="Times New Roman"/>
                <w:b/>
                <w:bCs/>
                <w:sz w:val="24"/>
                <w:szCs w:val="24"/>
              </w:rPr>
            </w:pPr>
            <w:r w:rsidRPr="0049661B">
              <w:rPr>
                <w:rFonts w:ascii="Times New Roman" w:eastAsia="Times New Roman" w:hAnsi="Times New Roman" w:cs="Times New Roman"/>
                <w:kern w:val="0"/>
                <w:sz w:val="24"/>
                <w:szCs w:val="24"/>
                <w:lang w:eastAsia="ru-RU"/>
                <w14:ligatures w14:val="none"/>
              </w:rPr>
              <w:t xml:space="preserve">«Підготовка об’єктів до опалювального сезону та заходи з енергозбереження, а саме: послуги з повірки та поточного ремонту  приладів обліку теплової енергії в закладах освіти міста Дніпра ДК 021:2015-50410000-2. «Послуги з ремонту і технічного обслуговування вимірювальних, випробувальних і контрольних приладів» у закладах </w:t>
            </w:r>
            <w:r w:rsidR="00B256CA">
              <w:rPr>
                <w:rFonts w:ascii="Times New Roman" w:eastAsia="Times New Roman" w:hAnsi="Times New Roman" w:cs="Times New Roman"/>
                <w:kern w:val="0"/>
                <w:sz w:val="24"/>
                <w:szCs w:val="24"/>
                <w:lang w:eastAsia="ru-RU"/>
                <w14:ligatures w14:val="none"/>
              </w:rPr>
              <w:t>загальної середньої</w:t>
            </w:r>
            <w:r w:rsidRPr="0049661B">
              <w:rPr>
                <w:rFonts w:ascii="Times New Roman" w:eastAsia="Times New Roman" w:hAnsi="Times New Roman" w:cs="Times New Roman"/>
                <w:kern w:val="0"/>
                <w:sz w:val="24"/>
                <w:szCs w:val="24"/>
                <w:lang w:eastAsia="ru-RU"/>
                <w14:ligatures w14:val="none"/>
              </w:rPr>
              <w:t xml:space="preserve"> освіти</w:t>
            </w:r>
          </w:p>
        </w:tc>
      </w:tr>
      <w:tr w:rsidR="00156EF3" w14:paraId="491DC75E" w14:textId="77777777" w:rsidTr="00156EF3">
        <w:tc>
          <w:tcPr>
            <w:tcW w:w="562" w:type="dxa"/>
          </w:tcPr>
          <w:p w14:paraId="07299E49" w14:textId="75F8BEC0" w:rsidR="00156EF3" w:rsidRPr="0049661B" w:rsidRDefault="00156EF3" w:rsidP="00156EF3">
            <w:pPr>
              <w:jc w:val="center"/>
              <w:rPr>
                <w:rFonts w:ascii="Times New Roman" w:hAnsi="Times New Roman" w:cs="Times New Roman"/>
                <w:b/>
                <w:bCs/>
                <w:sz w:val="24"/>
                <w:szCs w:val="24"/>
              </w:rPr>
            </w:pPr>
            <w:r w:rsidRPr="0049661B">
              <w:rPr>
                <w:rFonts w:ascii="Times New Roman" w:hAnsi="Times New Roman" w:cs="Times New Roman"/>
                <w:b/>
                <w:bCs/>
                <w:sz w:val="24"/>
                <w:szCs w:val="24"/>
              </w:rPr>
              <w:t>2.</w:t>
            </w:r>
          </w:p>
        </w:tc>
        <w:tc>
          <w:tcPr>
            <w:tcW w:w="2268" w:type="dxa"/>
          </w:tcPr>
          <w:p w14:paraId="62AA02F3" w14:textId="18CDCB6D" w:rsidR="00156EF3" w:rsidRPr="0049661B" w:rsidRDefault="00156EF3" w:rsidP="00156EF3">
            <w:pPr>
              <w:rPr>
                <w:rFonts w:ascii="Times New Roman" w:hAnsi="Times New Roman" w:cs="Times New Roman"/>
                <w:b/>
                <w:bCs/>
                <w:sz w:val="24"/>
                <w:szCs w:val="24"/>
              </w:rPr>
            </w:pPr>
            <w:r w:rsidRPr="0049661B">
              <w:rPr>
                <w:rFonts w:ascii="Times New Roman" w:hAnsi="Times New Roman" w:cs="Times New Roman"/>
                <w:b/>
                <w:bCs/>
                <w:sz w:val="24"/>
                <w:szCs w:val="24"/>
              </w:rPr>
              <w:t>Обґрунтування технічних та якісних характеристик предмета закупівлі</w:t>
            </w:r>
          </w:p>
        </w:tc>
        <w:tc>
          <w:tcPr>
            <w:tcW w:w="6799" w:type="dxa"/>
          </w:tcPr>
          <w:p w14:paraId="2F401977" w14:textId="4D7020E8" w:rsidR="00156EF3" w:rsidRPr="0049661B" w:rsidRDefault="0092679F" w:rsidP="0092679F">
            <w:pPr>
              <w:jc w:val="both"/>
              <w:rPr>
                <w:rFonts w:ascii="Times New Roman" w:hAnsi="Times New Roman" w:cs="Times New Roman"/>
                <w:sz w:val="24"/>
                <w:szCs w:val="24"/>
              </w:rPr>
            </w:pPr>
            <w:r w:rsidRPr="0049661B">
              <w:rPr>
                <w:rFonts w:ascii="Times New Roman" w:hAnsi="Times New Roman" w:cs="Times New Roman"/>
                <w:sz w:val="24"/>
                <w:szCs w:val="24"/>
              </w:rPr>
              <w:t>Відповідно до Правил технічної експлуатації теплових установок і мереж, затверджених наказом Міністерства правила та енергетики України від 14.02.2007 №71,перед кожним опалювальним періодом здійснюється перевірка готовності роботи вузлів обліку теплової енергії ,про що складається відповідний акт. Для допуску вузла обліку теплової енергії до експлуатації споживач повинен подати відповідні документи про повірку вузла обліку. Повірка вузлів обліку здійснюється згідно з встановленою</w:t>
            </w:r>
            <w:r w:rsidR="00212CD2" w:rsidRPr="0049661B">
              <w:rPr>
                <w:rFonts w:ascii="Times New Roman" w:hAnsi="Times New Roman" w:cs="Times New Roman"/>
                <w:sz w:val="24"/>
                <w:szCs w:val="24"/>
              </w:rPr>
              <w:t xml:space="preserve"> чинними нормами України періодичністю, строк повірки визначається в свідоцтві про державну метрологічну атестацію вузла обліку теплової енергії.</w:t>
            </w:r>
            <w:r w:rsidRPr="0049661B">
              <w:rPr>
                <w:rFonts w:ascii="Times New Roman" w:hAnsi="Times New Roman" w:cs="Times New Roman"/>
                <w:sz w:val="24"/>
                <w:szCs w:val="24"/>
              </w:rPr>
              <w:t xml:space="preserve">   </w:t>
            </w:r>
          </w:p>
        </w:tc>
      </w:tr>
      <w:tr w:rsidR="00156EF3" w14:paraId="2A69A3A1" w14:textId="77777777" w:rsidTr="00156EF3">
        <w:tc>
          <w:tcPr>
            <w:tcW w:w="562" w:type="dxa"/>
          </w:tcPr>
          <w:p w14:paraId="16763286" w14:textId="3251CB6C" w:rsidR="00156EF3" w:rsidRPr="0049661B" w:rsidRDefault="00156EF3" w:rsidP="00156EF3">
            <w:pPr>
              <w:jc w:val="center"/>
              <w:rPr>
                <w:rFonts w:ascii="Times New Roman" w:hAnsi="Times New Roman" w:cs="Times New Roman"/>
                <w:b/>
                <w:bCs/>
                <w:sz w:val="24"/>
                <w:szCs w:val="24"/>
              </w:rPr>
            </w:pPr>
            <w:r w:rsidRPr="0049661B">
              <w:rPr>
                <w:rFonts w:ascii="Times New Roman" w:hAnsi="Times New Roman" w:cs="Times New Roman"/>
                <w:b/>
                <w:bCs/>
                <w:sz w:val="24"/>
                <w:szCs w:val="24"/>
              </w:rPr>
              <w:t>3.</w:t>
            </w:r>
          </w:p>
        </w:tc>
        <w:tc>
          <w:tcPr>
            <w:tcW w:w="2268" w:type="dxa"/>
          </w:tcPr>
          <w:p w14:paraId="0AF34502" w14:textId="77777777" w:rsidR="00156EF3" w:rsidRPr="0049661B" w:rsidRDefault="00156EF3" w:rsidP="00156EF3">
            <w:pPr>
              <w:rPr>
                <w:rFonts w:ascii="Times New Roman" w:hAnsi="Times New Roman" w:cs="Times New Roman"/>
                <w:b/>
                <w:bCs/>
                <w:sz w:val="24"/>
                <w:szCs w:val="24"/>
              </w:rPr>
            </w:pPr>
            <w:r w:rsidRPr="0049661B">
              <w:rPr>
                <w:rFonts w:ascii="Times New Roman" w:hAnsi="Times New Roman" w:cs="Times New Roman"/>
                <w:b/>
                <w:bCs/>
                <w:sz w:val="24"/>
                <w:szCs w:val="24"/>
              </w:rPr>
              <w:t xml:space="preserve">Обґрунтування </w:t>
            </w:r>
          </w:p>
          <w:p w14:paraId="4F7CFC32" w14:textId="6F927283" w:rsidR="00156EF3" w:rsidRPr="0049661B" w:rsidRDefault="00156EF3" w:rsidP="00156EF3">
            <w:pPr>
              <w:rPr>
                <w:rFonts w:ascii="Times New Roman" w:hAnsi="Times New Roman" w:cs="Times New Roman"/>
                <w:b/>
                <w:bCs/>
                <w:sz w:val="24"/>
                <w:szCs w:val="24"/>
              </w:rPr>
            </w:pPr>
            <w:r w:rsidRPr="0049661B">
              <w:rPr>
                <w:rFonts w:ascii="Times New Roman" w:hAnsi="Times New Roman" w:cs="Times New Roman"/>
                <w:b/>
                <w:bCs/>
                <w:sz w:val="24"/>
                <w:szCs w:val="24"/>
              </w:rPr>
              <w:t xml:space="preserve">очікуваної вартості предмета закупівлі, розміру бюджетного призначення </w:t>
            </w:r>
          </w:p>
        </w:tc>
        <w:tc>
          <w:tcPr>
            <w:tcW w:w="6799" w:type="dxa"/>
          </w:tcPr>
          <w:p w14:paraId="20EB2B6C" w14:textId="77777777" w:rsidR="00EB77F2" w:rsidRPr="0049661B" w:rsidRDefault="00156EF3" w:rsidP="00156EF3">
            <w:pPr>
              <w:rPr>
                <w:rFonts w:ascii="Times New Roman" w:hAnsi="Times New Roman" w:cs="Times New Roman"/>
                <w:sz w:val="24"/>
                <w:szCs w:val="24"/>
              </w:rPr>
            </w:pPr>
            <w:r w:rsidRPr="0049661B">
              <w:rPr>
                <w:rFonts w:ascii="Times New Roman" w:hAnsi="Times New Roman" w:cs="Times New Roman"/>
                <w:sz w:val="24"/>
                <w:szCs w:val="24"/>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Замовником направлено </w:t>
            </w:r>
            <w:r w:rsidR="00EB77F2" w:rsidRPr="0049661B">
              <w:rPr>
                <w:rFonts w:ascii="Times New Roman" w:hAnsi="Times New Roman" w:cs="Times New Roman"/>
                <w:sz w:val="24"/>
                <w:szCs w:val="24"/>
              </w:rPr>
              <w:t xml:space="preserve">3 письмові запити (електронною поштою) до учасників ринку , та відповідно 3-и цінові пропозиції. Очікувану вартість визначено, як середньоарифметичне за такою формулою: ОВ =  </w:t>
            </w:r>
            <w:r w:rsidRPr="0049661B">
              <w:rPr>
                <w:rFonts w:ascii="Times New Roman" w:hAnsi="Times New Roman" w:cs="Times New Roman"/>
                <w:sz w:val="24"/>
                <w:szCs w:val="24"/>
              </w:rPr>
              <w:t xml:space="preserve"> </w:t>
            </w:r>
            <w:r w:rsidR="00EB77F2" w:rsidRPr="0049661B">
              <w:rPr>
                <w:rFonts w:ascii="Times New Roman" w:hAnsi="Times New Roman" w:cs="Times New Roman"/>
                <w:sz w:val="24"/>
                <w:szCs w:val="24"/>
              </w:rPr>
              <w:t>(Ц1+…+Цк) /К, де ОВ – очікувана вартість,Ц1- ціни отримані за результатами запитів, К – кількість запитів.</w:t>
            </w:r>
          </w:p>
          <w:p w14:paraId="13D10E22" w14:textId="65E3907B" w:rsidR="00156EF3" w:rsidRPr="0049661B" w:rsidRDefault="00EB77F2" w:rsidP="00156EF3">
            <w:pPr>
              <w:rPr>
                <w:rFonts w:ascii="Times New Roman" w:hAnsi="Times New Roman" w:cs="Times New Roman"/>
                <w:sz w:val="24"/>
                <w:szCs w:val="24"/>
              </w:rPr>
            </w:pPr>
            <w:r w:rsidRPr="0049661B">
              <w:rPr>
                <w:rFonts w:ascii="Times New Roman" w:hAnsi="Times New Roman" w:cs="Times New Roman"/>
                <w:sz w:val="24"/>
                <w:szCs w:val="24"/>
              </w:rPr>
              <w:t xml:space="preserve"> Очікувана вартість закупівлі становить: </w:t>
            </w:r>
            <w:r w:rsidR="00B256CA">
              <w:rPr>
                <w:rFonts w:ascii="Times New Roman" w:hAnsi="Times New Roman" w:cs="Times New Roman"/>
                <w:sz w:val="24"/>
                <w:szCs w:val="24"/>
              </w:rPr>
              <w:t>91 156, 80</w:t>
            </w:r>
            <w:r w:rsidRPr="0049661B">
              <w:rPr>
                <w:rFonts w:ascii="Times New Roman" w:hAnsi="Times New Roman" w:cs="Times New Roman"/>
                <w:sz w:val="24"/>
                <w:szCs w:val="24"/>
              </w:rPr>
              <w:t xml:space="preserve"> грн з ПДВ.</w:t>
            </w:r>
          </w:p>
          <w:p w14:paraId="39C51E6D" w14:textId="28F0561A" w:rsidR="00EB77F2" w:rsidRPr="0049661B" w:rsidRDefault="00EB77F2" w:rsidP="00EB77F2">
            <w:pPr>
              <w:rPr>
                <w:rFonts w:ascii="Times New Roman" w:hAnsi="Times New Roman" w:cs="Times New Roman"/>
                <w:sz w:val="24"/>
                <w:szCs w:val="24"/>
              </w:rPr>
            </w:pPr>
            <w:r w:rsidRPr="0049661B">
              <w:rPr>
                <w:rFonts w:ascii="Times New Roman" w:hAnsi="Times New Roman" w:cs="Times New Roman"/>
                <w:sz w:val="24"/>
                <w:szCs w:val="24"/>
              </w:rPr>
              <w:t>Обґрунтування бюджетного призначення: рішення Дніпровської міської ради від 19.02.2025 №3/63 «Про внесення змін до рішення міської ради від 04.12.2024 2/59 «Про бюджет Дніпровської міської територіальної громади на 2025 рік»</w:t>
            </w:r>
          </w:p>
          <w:p w14:paraId="08E3E8E1" w14:textId="75E8EF06" w:rsidR="00EB77F2" w:rsidRPr="0049661B" w:rsidRDefault="00EB77F2" w:rsidP="00156EF3">
            <w:pPr>
              <w:rPr>
                <w:rFonts w:ascii="Times New Roman" w:hAnsi="Times New Roman" w:cs="Times New Roman"/>
                <w:sz w:val="24"/>
                <w:szCs w:val="24"/>
              </w:rPr>
            </w:pPr>
          </w:p>
        </w:tc>
      </w:tr>
    </w:tbl>
    <w:p w14:paraId="51410DC3" w14:textId="77777777" w:rsidR="00156EF3" w:rsidRPr="00156EF3" w:rsidRDefault="00156EF3" w:rsidP="00156EF3">
      <w:pPr>
        <w:jc w:val="center"/>
        <w:rPr>
          <w:b/>
          <w:bCs/>
        </w:rPr>
      </w:pPr>
    </w:p>
    <w:sectPr w:rsidR="00156EF3" w:rsidRPr="00156E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F3"/>
    <w:rsid w:val="00034634"/>
    <w:rsid w:val="000579A2"/>
    <w:rsid w:val="000A6728"/>
    <w:rsid w:val="00156EF3"/>
    <w:rsid w:val="00212CD2"/>
    <w:rsid w:val="0049661B"/>
    <w:rsid w:val="006C4977"/>
    <w:rsid w:val="0092679F"/>
    <w:rsid w:val="00947C98"/>
    <w:rsid w:val="00A26EF7"/>
    <w:rsid w:val="00B256CA"/>
    <w:rsid w:val="00EB77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1519"/>
  <w15:chartTrackingRefBased/>
  <w15:docId w15:val="{42FDD633-AE45-4BEA-A0BF-A3E8F9B7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6E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56E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56EF3"/>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156EF3"/>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156EF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156E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6E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6E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6E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EF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56EF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56EF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56EF3"/>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156EF3"/>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156E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6EF3"/>
    <w:rPr>
      <w:rFonts w:eastAsiaTheme="majorEastAsia" w:cstheme="majorBidi"/>
      <w:color w:val="595959" w:themeColor="text1" w:themeTint="A6"/>
    </w:rPr>
  </w:style>
  <w:style w:type="character" w:customStyle="1" w:styleId="80">
    <w:name w:val="Заголовок 8 Знак"/>
    <w:basedOn w:val="a0"/>
    <w:link w:val="8"/>
    <w:uiPriority w:val="9"/>
    <w:semiHidden/>
    <w:rsid w:val="00156E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6EF3"/>
    <w:rPr>
      <w:rFonts w:eastAsiaTheme="majorEastAsia" w:cstheme="majorBidi"/>
      <w:color w:val="272727" w:themeColor="text1" w:themeTint="D8"/>
    </w:rPr>
  </w:style>
  <w:style w:type="paragraph" w:styleId="a3">
    <w:name w:val="Title"/>
    <w:basedOn w:val="a"/>
    <w:next w:val="a"/>
    <w:link w:val="a4"/>
    <w:uiPriority w:val="10"/>
    <w:qFormat/>
    <w:rsid w:val="00156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6E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6EF3"/>
    <w:pPr>
      <w:spacing w:before="160"/>
      <w:jc w:val="center"/>
    </w:pPr>
    <w:rPr>
      <w:i/>
      <w:iCs/>
      <w:color w:val="404040" w:themeColor="text1" w:themeTint="BF"/>
    </w:rPr>
  </w:style>
  <w:style w:type="character" w:customStyle="1" w:styleId="22">
    <w:name w:val="Цитата 2 Знак"/>
    <w:basedOn w:val="a0"/>
    <w:link w:val="21"/>
    <w:uiPriority w:val="29"/>
    <w:rsid w:val="00156EF3"/>
    <w:rPr>
      <w:i/>
      <w:iCs/>
      <w:color w:val="404040" w:themeColor="text1" w:themeTint="BF"/>
    </w:rPr>
  </w:style>
  <w:style w:type="paragraph" w:styleId="a7">
    <w:name w:val="List Paragraph"/>
    <w:basedOn w:val="a"/>
    <w:uiPriority w:val="34"/>
    <w:qFormat/>
    <w:rsid w:val="00156EF3"/>
    <w:pPr>
      <w:ind w:left="720"/>
      <w:contextualSpacing/>
    </w:pPr>
  </w:style>
  <w:style w:type="character" w:styleId="a8">
    <w:name w:val="Intense Emphasis"/>
    <w:basedOn w:val="a0"/>
    <w:uiPriority w:val="21"/>
    <w:qFormat/>
    <w:rsid w:val="00156EF3"/>
    <w:rPr>
      <w:i/>
      <w:iCs/>
      <w:color w:val="2E74B5" w:themeColor="accent1" w:themeShade="BF"/>
    </w:rPr>
  </w:style>
  <w:style w:type="paragraph" w:styleId="a9">
    <w:name w:val="Intense Quote"/>
    <w:basedOn w:val="a"/>
    <w:next w:val="a"/>
    <w:link w:val="aa"/>
    <w:uiPriority w:val="30"/>
    <w:qFormat/>
    <w:rsid w:val="00156E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56EF3"/>
    <w:rPr>
      <w:i/>
      <w:iCs/>
      <w:color w:val="2E74B5" w:themeColor="accent1" w:themeShade="BF"/>
    </w:rPr>
  </w:style>
  <w:style w:type="character" w:styleId="ab">
    <w:name w:val="Intense Reference"/>
    <w:basedOn w:val="a0"/>
    <w:uiPriority w:val="32"/>
    <w:qFormat/>
    <w:rsid w:val="00156EF3"/>
    <w:rPr>
      <w:b/>
      <w:bCs/>
      <w:smallCaps/>
      <w:color w:val="2E74B5" w:themeColor="accent1" w:themeShade="BF"/>
      <w:spacing w:val="5"/>
    </w:rPr>
  </w:style>
  <w:style w:type="table" w:styleId="ac">
    <w:name w:val="Table Grid"/>
    <w:basedOn w:val="a1"/>
    <w:uiPriority w:val="39"/>
    <w:rsid w:val="0015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1384</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2025-04-17T11:04:00Z</cp:lastPrinted>
  <dcterms:created xsi:type="dcterms:W3CDTF">2025-04-17T10:16:00Z</dcterms:created>
  <dcterms:modified xsi:type="dcterms:W3CDTF">2025-04-22T06:47:00Z</dcterms:modified>
</cp:coreProperties>
</file>