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87" w:rsidRPr="00355487" w:rsidRDefault="00355487" w:rsidP="00355487">
      <w:pPr>
        <w:spacing w:after="16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ОБҐРУНТУВАННЯ</w:t>
      </w:r>
    </w:p>
    <w:p w:rsidR="00355487" w:rsidRPr="00355487" w:rsidRDefault="00355487" w:rsidP="00355487">
      <w:pPr>
        <w:spacing w:after="1" w:line="27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якісних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 </w:t>
      </w:r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закупівлі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закупівлі</w:t>
      </w:r>
    </w:p>
    <w:p w:rsidR="00355487" w:rsidRPr="00355487" w:rsidRDefault="00355487" w:rsidP="00355487">
      <w:pPr>
        <w:spacing w:after="0"/>
        <w:ind w:left="10" w:right="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оприлюднюється</w:t>
      </w:r>
      <w:proofErr w:type="spellEnd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виконання</w:t>
      </w:r>
      <w:proofErr w:type="spellEnd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постанови КМУ № 710 від 11.10.2016 «Про 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ефективне</w:t>
      </w:r>
      <w:proofErr w:type="spellEnd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державних</w:t>
      </w:r>
      <w:proofErr w:type="spellEnd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коштів</w:t>
      </w:r>
      <w:proofErr w:type="spellEnd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(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зі</w:t>
      </w:r>
      <w:proofErr w:type="spellEnd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змінами</w:t>
      </w:r>
      <w:proofErr w:type="spellEnd"/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55487" w:rsidRPr="00355487" w:rsidRDefault="00355487" w:rsidP="00355487">
      <w:pPr>
        <w:spacing w:after="0"/>
        <w:ind w:lef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355487" w:rsidRPr="00355487" w:rsidRDefault="00355487" w:rsidP="00355487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Найменування,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код замовника в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Єдиному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державному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реєстрі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юридичних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осіб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фізичних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осіб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підприємців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громадських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формувань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його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категорія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355487">
        <w:rPr>
          <w:rFonts w:ascii="Times New Roman" w:eastAsia="Tahoma" w:hAnsi="Times New Roman" w:cs="Times New Roman"/>
          <w:sz w:val="24"/>
          <w:szCs w:val="24"/>
          <w:lang w:val="uk-UA" w:eastAsia="zh-CN"/>
        </w:rPr>
        <w:t>Департамент гуманітарної політики Дніпровської міської ради (код ЄДРПОУ 40506248, орган місцевого самоврядування)</w:t>
      </w:r>
      <w:r>
        <w:rPr>
          <w:rFonts w:ascii="Times New Roman" w:eastAsia="Tahoma" w:hAnsi="Times New Roman" w:cs="Times New Roman"/>
          <w:sz w:val="24"/>
          <w:szCs w:val="24"/>
          <w:lang w:val="uk-UA" w:eastAsia="zh-CN"/>
        </w:rPr>
        <w:t xml:space="preserve"> </w:t>
      </w:r>
    </w:p>
    <w:p w:rsidR="00355487" w:rsidRPr="00355487" w:rsidRDefault="00355487" w:rsidP="00355487">
      <w:pPr>
        <w:spacing w:after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487" w:rsidRDefault="00355487" w:rsidP="00355487">
      <w:pPr>
        <w:spacing w:after="279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закупівлі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із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зазначенням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коду за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Єдиним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закупівельним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словником: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487" w:rsidRPr="00355487" w:rsidRDefault="00355487" w:rsidP="00355487">
      <w:pPr>
        <w:spacing w:after="279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Електрична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 021:2015 - 09310000-5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Електрична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55487" w:rsidRPr="00355487" w:rsidRDefault="00355487" w:rsidP="00355487">
      <w:pPr>
        <w:spacing w:after="301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та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ідентифікатор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процедури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закупівлі:</w:t>
      </w:r>
      <w:hyperlink r:id="rId5">
        <w:r w:rsidRPr="00355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відкриті торги з особливостями 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UA-2024-12-10-007830-a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https://zakupivli.pro/gov/tenders/ua-2024-12-10-007830-a/lot-7ad152eb07f44d8ea7878bc217bd57b2UA</w:t>
        </w:r>
      </w:hyperlink>
      <w:hyperlink r:id="rId7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8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2021</w:t>
        </w:r>
      </w:hyperlink>
      <w:hyperlink r:id="rId9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0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03</w:t>
        </w:r>
      </w:hyperlink>
      <w:hyperlink r:id="rId11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2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19</w:t>
        </w:r>
      </w:hyperlink>
      <w:hyperlink r:id="rId13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002514</w:t>
        </w:r>
      </w:hyperlink>
      <w:hyperlink r:id="rId15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6"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uk-UA" w:eastAsia="ru-RU"/>
        </w:rPr>
        <w:t>)</w:t>
      </w:r>
      <w:hyperlink r:id="rId17">
        <w:r w:rsidRPr="00355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355487" w:rsidRDefault="00355487" w:rsidP="00355487">
      <w:pPr>
        <w:spacing w:after="1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Очікувана вартість та обґрунтування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очікуваної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вартості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закупівлі: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:rsidR="005F19CD" w:rsidRPr="005F19CD" w:rsidRDefault="00355487" w:rsidP="005F19CD">
      <w:pPr>
        <w:spacing w:after="1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закупівлі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обумовлено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аналізом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місячного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попередні роки 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бюджетний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Замовником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відповідно до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п. 3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ІІІ Наказу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Мінекономіки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07.05.2024 № 11712 «Про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щодо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закупівель у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електроенергетики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в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скасування</w:t>
      </w:r>
      <w:proofErr w:type="spellEnd"/>
      <w:r w:rsidR="005F19CD"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55487" w:rsidRPr="00355487" w:rsidRDefault="00355487" w:rsidP="00355487">
      <w:pPr>
        <w:spacing w:after="289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проводився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аналізом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електропостачальників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енергію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закупівлі. До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включена вартість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закупованої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електропостачальником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оптовому ринку</w:t>
      </w:r>
      <w:proofErr w:type="gram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внутрішньодобовому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наперед),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послуги з розподілу,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націнка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електропостачальників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 за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(ПВЦ)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розраховується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формулі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 = (</w:t>
      </w:r>
      <w:proofErr w:type="spellStart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Црдн</w:t>
      </w:r>
      <w:proofErr w:type="spellEnd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Тпер</w:t>
      </w:r>
      <w:proofErr w:type="spellEnd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Троз</w:t>
      </w:r>
      <w:proofErr w:type="spellEnd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V) х 1,2,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наступних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складових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Црдн</w:t>
      </w:r>
      <w:proofErr w:type="spellEnd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середньозважена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РДН у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торговій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Об'єднана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Енергетична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(ОЕС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даними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 «Оператор ринку»,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розміщеними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https://www.oree.com.ua. за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жовтень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року.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Црдн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5,65997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 без ПДВ;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Тпер</w:t>
      </w:r>
      <w:proofErr w:type="spellEnd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тариф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регулюється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НКРЕКП.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Тариф становить </w:t>
      </w:r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0,52857 грн без ПДВ за 1 кВт*год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(Постанова НКРЕКП від 09.12.2023 р. № 2322 «Про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тарифу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 «УКРЕНЕРГО» на 2024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регульована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(тариф)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01.01.2024р.)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Троз</w:t>
      </w:r>
      <w:proofErr w:type="spellEnd"/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тариф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регулюється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НКРЕКП.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зручний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себе порядок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через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оператору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▪ Тариф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від 09.12.2023р. № 2326 «Про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тарифів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 «ДТЕК ДНІПРОВСЬКІ ЕЛЕКТРОМЕРЕЖІ»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застосуванням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стимулюючого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2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регульована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(тариф)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01.01.2024р. становить – </w:t>
      </w:r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1,32803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грн/кВт*год (без ПДВ);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▪ Тариф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від 09.12.2023р. № 2349 «Про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тарифів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ПРАТ «ПЕЕМ «ЦЕК»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застосуванням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стимулюючого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2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регульована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(тариф)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01.01.2024р. становить – </w:t>
      </w:r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1,38791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грн/кВт*год (без ПДВ);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▪ Тариф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затверджений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від 09.12.2023р. № 2355 «Про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тарифів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 «УКРЗАЛІЗНИЦЯ»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застосуванням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стимулюючого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2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регульована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(тариф)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01.01.2024р. становить – </w:t>
      </w:r>
      <w:r w:rsidRPr="005F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1,73019 </w:t>
      </w: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грн/кВт*год (без ПДВ);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– вартість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(маржа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5F19CD" w:rsidRPr="005F19CD" w:rsidRDefault="005F19CD" w:rsidP="005F19CD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вищенаведених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складових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 на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енергію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 кВт*</w:t>
      </w:r>
      <w:proofErr w:type="gram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:</w:t>
      </w:r>
      <w:proofErr w:type="gram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19CD" w:rsidRPr="005F19CD" w:rsidRDefault="005F19CD" w:rsidP="005F19CD">
      <w:pPr>
        <w:numPr>
          <w:ilvl w:val="0"/>
          <w:numId w:val="2"/>
        </w:num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становить: 8,02 грн. (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вісім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гривень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коп.) без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ПДВ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9,62 грн. (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дев’ять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гривень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 коп.) з </w:t>
      </w:r>
      <w:proofErr w:type="spellStart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5F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ПДВ. </w:t>
      </w:r>
    </w:p>
    <w:p w:rsidR="005F19CD" w:rsidRDefault="005F19CD" w:rsidP="00355487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9CD" w:rsidRDefault="005F19CD" w:rsidP="00355487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487" w:rsidRPr="00355487" w:rsidRDefault="00355487" w:rsidP="00355487">
      <w:pPr>
        <w:spacing w:after="13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правове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регулювання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предмета закупівлі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регулюються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встановлюються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ринок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Закон), Правилами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роздрібного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затвердженими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державне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сферах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енергетики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НКРЕКП) від 14.03.2018 № 312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ПРРЕЕ), Законом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закупівлі» від 25.12.2015 № 922-VIII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Закон про закупівлі), Кодексом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затвердженим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електроенергетики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14.03.2018 № 310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КСР), Порядком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компенсацій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затвердженим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від 12.06.2018 № 375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Порядок  № 375), та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нормативноправовими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стосуються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закупівлі. </w:t>
      </w:r>
    </w:p>
    <w:p w:rsidR="00355487" w:rsidRPr="00355487" w:rsidRDefault="00355487" w:rsidP="00355487">
      <w:pPr>
        <w:spacing w:after="129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Загальні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положення</w:t>
      </w:r>
      <w:proofErr w:type="spellEnd"/>
      <w:r w:rsidRPr="00355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пунктом 26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Закону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електрична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виробляється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об’єктах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електроенергетики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є товаром,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призначеним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купівлі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-продажу.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Закону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електропостачальниками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отримали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договором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55487" w:rsidRPr="00355487" w:rsidRDefault="00355487" w:rsidP="00355487">
      <w:pPr>
        <w:spacing w:after="13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Інформація про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електропостачальників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міститись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ліцензійному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НКРЕКП)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відповідно до вимог Закону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отримали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у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8">
        <w:proofErr w:type="spellStart"/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Електрична</w:t>
        </w:r>
        <w:proofErr w:type="spellEnd"/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 xml:space="preserve"> </w:t>
        </w:r>
        <w:proofErr w:type="spellStart"/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енергія</w:t>
        </w:r>
        <w:proofErr w:type="spellEnd"/>
      </w:hyperlink>
      <w:hyperlink r:id="rId19">
        <w:r w:rsidRPr="00355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 </w:t>
      </w:r>
      <w:hyperlink r:id="rId20">
        <w:proofErr w:type="spellStart"/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Ліцензування</w:t>
        </w:r>
        <w:proofErr w:type="spellEnd"/>
      </w:hyperlink>
      <w:hyperlink r:id="rId21">
        <w:r w:rsidRPr="00355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 </w:t>
      </w:r>
      <w:hyperlink r:id="rId22">
        <w:proofErr w:type="spellStart"/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Реєстри</w:t>
        </w:r>
        <w:proofErr w:type="spellEnd"/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 xml:space="preserve"> </w:t>
        </w:r>
        <w:proofErr w:type="spellStart"/>
        <w:r w:rsidRPr="003554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ліцензіатів</w:t>
        </w:r>
        <w:proofErr w:type="spellEnd"/>
      </w:hyperlink>
      <w:hyperlink r:id="rId23">
        <w:r w:rsidRPr="00355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(вид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3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DD54D3" w:rsidRPr="00DD54D3" w:rsidRDefault="00DD54D3" w:rsidP="00DD54D3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Електропостачальник</w:t>
      </w:r>
      <w:proofErr w:type="spellEnd"/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повинен забезпечити поставку електричної енергії на об’єкт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підпорядковані</w:t>
      </w:r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замовник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департаменту гуманітарної політики Дніпровської міської ради,</w:t>
      </w:r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</w:t>
      </w:r>
      <w:r w:rsidR="008D3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знаход</w:t>
      </w:r>
      <w:r w:rsidR="008D3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ться за адрес</w:t>
      </w:r>
      <w:r w:rsidR="008D3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ами відповідно до Дислокації</w:t>
      </w:r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підключен</w:t>
      </w:r>
      <w:r w:rsidR="008D31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DD54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місцевих розподільчих мереж відповідно до вимог Кодексу розподільчих систем, технічні та якісні характеристики якої повинні відповідати нормам чинного на території України законодавства, державним, міжнародним стандартам та вимогам державної політики України в галузі захисту довкілля.</w:t>
      </w:r>
    </w:p>
    <w:p w:rsidR="00DD54D3" w:rsidRPr="00DD54D3" w:rsidRDefault="00DD54D3" w:rsidP="00DD54D3">
      <w:pPr>
        <w:spacing w:after="11" w:line="269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Обґрунтування </w:t>
      </w:r>
      <w:proofErr w:type="spellStart"/>
      <w:r w:rsidRPr="008D3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технічних</w:t>
      </w:r>
      <w:proofErr w:type="spellEnd"/>
      <w:r w:rsidRPr="008D3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характеристик. 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01.01.2025</w:t>
      </w:r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31.12.2025</w:t>
      </w:r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Кількісною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характеристикою предмета закупівлі є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одиницю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кіловат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-година, яка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спожитої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пристроями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потужністю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один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кіловат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необхідний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об’єктів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замовника, та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переднього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року, становить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21 000 000</w:t>
      </w:r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кВт. год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Обґрунтування </w:t>
      </w:r>
      <w:proofErr w:type="spellStart"/>
      <w:r w:rsidRPr="008D3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якісних</w:t>
      </w:r>
      <w:proofErr w:type="spellEnd"/>
      <w:r w:rsidRPr="008D3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характеристик.</w:t>
      </w:r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1.1.2 пункту 1.1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ПРРЕЕ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Регулятором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(і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величин),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Електропостачальник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гарантованих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Порядком № 375, Законом, ПРРЕЕ, КСР,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про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(договору про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правовими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 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Закону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величинам,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НКРЕКП. 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Регулятором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(і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величин),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безперервності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4D" w:rsidRP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характеризується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параметрами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відповідністю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стандарту.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ОСР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 предмета закупівлі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передбачається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довкілля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про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Електропостачальник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зобов’язується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чинним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вимог щодо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довкілля</w:t>
      </w:r>
      <w:proofErr w:type="spellEnd"/>
      <w:r w:rsidRPr="008D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14D" w:rsidRDefault="008D314D" w:rsidP="008D314D">
      <w:pPr>
        <w:spacing w:after="9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C2D" w:rsidRPr="00355487" w:rsidRDefault="00F26C2D" w:rsidP="003554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6C2D" w:rsidRPr="00355487">
      <w:pgSz w:w="11906" w:h="16838"/>
      <w:pgMar w:top="852" w:right="848" w:bottom="8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13EE8"/>
    <w:multiLevelType w:val="hybridMultilevel"/>
    <w:tmpl w:val="F716E6C7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5D2723"/>
    <w:multiLevelType w:val="hybridMultilevel"/>
    <w:tmpl w:val="64440F22"/>
    <w:lvl w:ilvl="0" w:tplc="DEB2DA32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2FAD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80447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6B5F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F6FAD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6E17E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D4767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AA067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6B2B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3"/>
    <w:rsid w:val="00355487"/>
    <w:rsid w:val="005F19CD"/>
    <w:rsid w:val="0075482C"/>
    <w:rsid w:val="008D314D"/>
    <w:rsid w:val="00C10D03"/>
    <w:rsid w:val="00DD54D3"/>
    <w:rsid w:val="00F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F8CB-53F8-45B9-8FF1-931BEE15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03-19-002514-a" TargetMode="External"/><Relationship Id="rId13" Type="http://schemas.openxmlformats.org/officeDocument/2006/relationships/hyperlink" Target="https://prozorro.gov.ua/tender/UA-2021-03-19-002514-a" TargetMode="External"/><Relationship Id="rId18" Type="http://schemas.openxmlformats.org/officeDocument/2006/relationships/hyperlink" Target="https://www.nerc.gov.ua/?id=159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rc.gov.ua/?id=15953" TargetMode="External"/><Relationship Id="rId7" Type="http://schemas.openxmlformats.org/officeDocument/2006/relationships/hyperlink" Target="https://prozorro.gov.ua/tender/UA-2021-03-19-002514-a" TargetMode="External"/><Relationship Id="rId12" Type="http://schemas.openxmlformats.org/officeDocument/2006/relationships/hyperlink" Target="https://prozorro.gov.ua/tender/UA-2021-03-19-002514-a" TargetMode="External"/><Relationship Id="rId17" Type="http://schemas.openxmlformats.org/officeDocument/2006/relationships/hyperlink" Target="https://prozorro.gov.ua/tender/UA-2021-03-19-002514-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zorro.gov.ua/tender/UA-2021-03-19-002514-a" TargetMode="External"/><Relationship Id="rId20" Type="http://schemas.openxmlformats.org/officeDocument/2006/relationships/hyperlink" Target="https://www.nerc.gov.ua/?id=159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upivli.pro/gov/tenders/ua-2024-12-10-007830-a/lot-7ad152eb07f44d8ea7878bc217bd57b2" TargetMode="External"/><Relationship Id="rId11" Type="http://schemas.openxmlformats.org/officeDocument/2006/relationships/hyperlink" Target="https://prozorro.gov.ua/tender/UA-2021-03-19-002514-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ozorro.gov.ua/tender/UA-2021-03-19-002514-a" TargetMode="External"/><Relationship Id="rId15" Type="http://schemas.openxmlformats.org/officeDocument/2006/relationships/hyperlink" Target="https://prozorro.gov.ua/tender/UA-2021-03-19-002514-a" TargetMode="External"/><Relationship Id="rId23" Type="http://schemas.openxmlformats.org/officeDocument/2006/relationships/hyperlink" Target="https://www.nerc.gov.ua/?id=16075" TargetMode="External"/><Relationship Id="rId10" Type="http://schemas.openxmlformats.org/officeDocument/2006/relationships/hyperlink" Target="https://prozorro.gov.ua/tender/UA-2021-03-19-002514-a" TargetMode="External"/><Relationship Id="rId19" Type="http://schemas.openxmlformats.org/officeDocument/2006/relationships/hyperlink" Target="https://www.nerc.gov.ua/?id=15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1-03-19-002514-a" TargetMode="External"/><Relationship Id="rId14" Type="http://schemas.openxmlformats.org/officeDocument/2006/relationships/hyperlink" Target="https://prozorro.gov.ua/tender/UA-2021-03-19-002514-a" TargetMode="External"/><Relationship Id="rId22" Type="http://schemas.openxmlformats.org/officeDocument/2006/relationships/hyperlink" Target="https://www.nerc.gov.ua/?id=16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2024-12-13T13:27:00Z</dcterms:created>
  <dcterms:modified xsi:type="dcterms:W3CDTF">2024-12-13T14:12:00Z</dcterms:modified>
</cp:coreProperties>
</file>